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 Yu-Hsin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BELITE 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BLTE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2C2C2C"/>
            </w:tcBorders>
          </w:tcPr>
          <w:p>
            <w:pPr>
              <w:spacing w:after="0"/>
              <w:rPr>
                <w:sz w:val="11"/>
                <w:szCs w:val="11"/>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11"/>
                <w:szCs w:val="11"/>
                <w:color w:val="auto"/>
              </w:rPr>
            </w:pPr>
          </w:p>
        </w:tc>
        <w:tc>
          <w:tcPr>
            <w:tcW w:w="240" w:type="dxa"/>
            <w:vAlign w:val="bottom"/>
            <w:tcBorders>
              <w:top w:val="single" w:sz="8" w:color="2C2C2C"/>
            </w:tcBorders>
          </w:tcPr>
          <w:p>
            <w:pPr>
              <w:spacing w:after="0"/>
              <w:rPr>
                <w:sz w:val="11"/>
                <w:szCs w:val="11"/>
                <w:color w:val="auto"/>
              </w:rPr>
            </w:pPr>
          </w:p>
        </w:tc>
        <w:tc>
          <w:tcPr>
            <w:tcW w:w="80" w:type="dxa"/>
            <w:vAlign w:val="bottom"/>
            <w:tcBorders>
              <w:top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29"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12750 HIGH BLUFF DRIVE, SUITE 475</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10/29/2026</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gridSpan w:val="4"/>
          </w:tcPr>
          <w:p>
            <w:pPr>
              <w:spacing w:after="0"/>
              <w:rPr>
                <w:sz w:val="12"/>
                <w:szCs w:val="12"/>
                <w:color w:val="auto"/>
              </w:rPr>
            </w:pPr>
          </w:p>
        </w:tc>
        <w:tc>
          <w:tcPr>
            <w:tcW w:w="1800" w:type="dxa"/>
            <w:vAlign w:val="bottom"/>
            <w:tcBorders>
              <w:bottom w:val="single" w:sz="8" w:color="2C2C2C"/>
            </w:tcBorders>
            <w:gridSpan w:val="3"/>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7"/>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44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1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10/29/2026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187,949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2025, the reporting person was granted an award of restricted stock units ("RSUs") which shall vest upon satisfaction of several performance criteria. Certain of these performance criteria were met on 10/29/2026, resulting in vesting of the RSUs as to 5,000 ordinary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Yu-Hsin Lin</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10/30/2026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5964" TargetMode="External"/><Relationship Id="rId14" Type="http://schemas.openxmlformats.org/officeDocument/2006/relationships/hyperlink" Target="http://www.sec.gov/cgi-bin/browse-edgar?action=getcompany&amp;CIK=00018891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2026-10-30T20:00:58Z</dcterms:created>
  <dcterms:modified xsi:type="dcterms:W3CDTF">2026-10-30T20:00:58Z</dcterms:modified>
</cp:coreProperties>
</file>