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O’Melveny &amp; Myers LLP</w:t>
            </w:r>
          </w:p>
        </w:tc>
        <w:tc>
          <w:tcPr>
            <w:tcW w:w="4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 +1 212 326 2000</w:t>
            </w:r>
          </w:p>
        </w:tc>
        <w:tc>
          <w:tcPr>
            <w:tcW w:w="41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9"/>
              </w:rPr>
              <w:t>File Number: 0507930-00003</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Times Square Tower</w:t>
            </w:r>
          </w:p>
        </w:tc>
        <w:tc>
          <w:tcPr>
            <w:tcW w:w="4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 +1 213 326 2061</w:t>
            </w:r>
          </w:p>
        </w:tc>
        <w:tc>
          <w:tcPr>
            <w:tcW w:w="414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7 Times Square</w:t>
            </w:r>
          </w:p>
        </w:tc>
        <w:tc>
          <w:tcPr>
            <w:tcW w:w="4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omm.com</w:t>
            </w:r>
          </w:p>
        </w:tc>
        <w:tc>
          <w:tcPr>
            <w:tcW w:w="4140" w:type="dxa"/>
            <w:vAlign w:val="bottom"/>
          </w:tcPr>
          <w:p>
            <w:pPr>
              <w:spacing w:after="0"/>
              <w:rPr>
                <w:sz w:val="18"/>
                <w:szCs w:val="18"/>
                <w:color w:val="auto"/>
              </w:rPr>
            </w:pP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10036</w:t>
            </w:r>
          </w:p>
        </w:tc>
        <w:tc>
          <w:tcPr>
            <w:tcW w:w="406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41"/>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April 11, 2022</w:t>
            </w:r>
          </w:p>
        </w:tc>
        <w:tc>
          <w:tcPr>
            <w:tcW w:w="4060" w:type="dxa"/>
            <w:vAlign w:val="bottom"/>
          </w:tcPr>
          <w:p>
            <w:pPr>
              <w:spacing w:after="0"/>
              <w:rPr>
                <w:sz w:val="24"/>
                <w:szCs w:val="24"/>
                <w:color w:val="auto"/>
              </w:rPr>
            </w:pPr>
          </w:p>
        </w:tc>
        <w:tc>
          <w:tcPr>
            <w:tcW w:w="414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Portia Ku</w:t>
            </w:r>
          </w:p>
        </w:tc>
      </w:tr>
      <w:tr>
        <w:trPr>
          <w:trHeight w:val="216"/>
        </w:trPr>
        <w:tc>
          <w:tcPr>
            <w:tcW w:w="27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1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D: +1 212 326 2168</w:t>
            </w:r>
          </w:p>
        </w:tc>
      </w:tr>
      <w:tr>
        <w:trPr>
          <w:trHeight w:val="234"/>
        </w:trPr>
        <w:tc>
          <w:tcPr>
            <w:tcW w:w="27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41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pku@omm.com</w:t>
            </w:r>
          </w:p>
        </w:tc>
      </w:tr>
    </w:tbl>
    <w:p>
      <w:pPr>
        <w:spacing w:after="0" w:line="2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311785</wp:posOffset>
            </wp:positionV>
            <wp:extent cx="1131570" cy="265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131570" cy="2654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Jessica Ansart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Christine Westbrook</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w:t>
            </w:r>
          </w:p>
        </w:tc>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BELITE BIO, INC.</w:t>
            </w:r>
          </w:p>
        </w:tc>
      </w:tr>
      <w:tr>
        <w:trPr>
          <w:trHeight w:val="216"/>
        </w:trPr>
        <w:tc>
          <w:tcPr>
            <w:tcW w:w="6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F-1</w:t>
            </w:r>
          </w:p>
        </w:tc>
      </w:tr>
      <w:tr>
        <w:trPr>
          <w:trHeight w:val="216"/>
        </w:trPr>
        <w:tc>
          <w:tcPr>
            <w:tcW w:w="6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Filed April 5, 2022</w:t>
            </w:r>
          </w:p>
        </w:tc>
      </w:tr>
      <w:tr>
        <w:trPr>
          <w:trHeight w:val="238"/>
        </w:trPr>
        <w:tc>
          <w:tcPr>
            <w:tcW w:w="640" w:type="dxa"/>
            <w:vAlign w:val="bottom"/>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File No. 333-264134</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Ansart and Ms. Westbrook:</w:t>
      </w:r>
    </w:p>
    <w:p>
      <w:pPr>
        <w:spacing w:after="0" w:line="221"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On behalf of our client, Belite Bio, Inc, a foreign private issuer organized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we hereby submit to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this letter setting forth the Company’s responses to the comments contained in the Staff’s letter dated April 8, 2022, regarding the above-referenced Registration Statement on Form F-1, as filed with the Commission on April 5, 2022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Staff’s convenience, we have reproduced below the comments from the Staff in bold italics, followed by the Company’s corresponding response.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in this letter and not otherwise defined herein have the meanings ascribed to them in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5" w:lineRule="exact"/>
        <w:rPr>
          <w:sz w:val="24"/>
          <w:szCs w:val="24"/>
          <w:color w:val="auto"/>
        </w:rPr>
      </w:pPr>
    </w:p>
    <w:p>
      <w:pPr>
        <w:jc w:val="center"/>
        <w:ind w:left="360" w:right="1040"/>
        <w:spacing w:after="0" w:line="329" w:lineRule="auto"/>
        <w:rPr>
          <w:sz w:val="20"/>
          <w:szCs w:val="20"/>
          <w:color w:val="auto"/>
        </w:rPr>
      </w:pPr>
      <w:r>
        <w:rPr>
          <w:rFonts w:ascii="Times New Roman" w:cs="Times New Roman" w:eastAsia="Times New Roman" w:hAnsi="Times New Roman"/>
          <w:sz w:val="18"/>
          <w:szCs w:val="18"/>
          <w:color w:val="auto"/>
        </w:rPr>
        <w:t>Austin • Century City • Dallas • Los Angeles • Newport Beach • New York • San Francisco • Silicon Valley • Washington, DC Beijing • Brussels • Hong Kong • London • Seoul • Shanghai • Singapore • Tokyo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390" w:right="379" w:bottom="1440" w:gutter="0" w:footer="0" w:header="0"/>
        </w:sectPr>
      </w:pPr>
    </w:p>
    <w:bookmarkStart w:id="1" w:name="page2"/>
    <w:bookmarkEnd w:id="1"/>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946150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586105</wp:posOffset>
            </wp:positionV>
            <wp:extent cx="1131570" cy="265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31570" cy="2654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F-1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Industry, Business and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 the event that we elect to carry out clinical trials in China and/or to expand our operations into China in the future, page 67</w:t>
      </w:r>
    </w:p>
    <w:p>
      <w:pPr>
        <w:spacing w:after="0" w:line="203" w:lineRule="exact"/>
        <w:rPr>
          <w:sz w:val="20"/>
          <w:szCs w:val="20"/>
          <w:color w:val="auto"/>
        </w:rPr>
      </w:pPr>
    </w:p>
    <w:p>
      <w:pPr>
        <w:ind w:left="660" w:hanging="652"/>
        <w:spacing w:after="0" w:line="262" w:lineRule="auto"/>
        <w:tabs>
          <w:tab w:leader="none" w:pos="6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response to our prior comment 3 and reissue the comment in part. We also note your disclosure on page 1 that you have received approval to commence patient enrollment for a Phase 3 clinical trial in Hong Kong, among other jurisdictions. Given your planned clinical trials in Hong Kong, please revise your disclosure here to also discuss the relevant material risks in the context of your operations in Hong Kong.</w:t>
      </w:r>
    </w:p>
    <w:p>
      <w:pPr>
        <w:spacing w:after="0" w:line="176" w:lineRule="exact"/>
        <w:rPr>
          <w:rFonts w:ascii="Times New Roman" w:cs="Times New Roman" w:eastAsia="Times New Roman" w:hAnsi="Times New Roman"/>
          <w:sz w:val="18"/>
          <w:szCs w:val="18"/>
          <w:b w:val="1"/>
          <w:bCs w:val="1"/>
          <w:i w:val="1"/>
          <w:iCs w:val="1"/>
          <w:color w:val="auto"/>
        </w:rPr>
      </w:pPr>
    </w:p>
    <w:p>
      <w:pPr>
        <w:ind w:left="6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Response:</w:t>
      </w:r>
    </w:p>
    <w:p>
      <w:pPr>
        <w:spacing w:after="0" w:line="229" w:lineRule="exact"/>
        <w:rPr>
          <w:rFonts w:ascii="Times New Roman" w:cs="Times New Roman" w:eastAsia="Times New Roman" w:hAnsi="Times New Roman"/>
          <w:sz w:val="18"/>
          <w:szCs w:val="18"/>
          <w:b w:val="1"/>
          <w:bCs w:val="1"/>
          <w:i w:val="1"/>
          <w:iCs w:val="1"/>
          <w:color w:val="auto"/>
        </w:rPr>
      </w:pPr>
    </w:p>
    <w:p>
      <w:pPr>
        <w:ind w:left="66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respectfully submits to the Staff that despite Hong Kong is a special administrative region of the People's Republic of China politically, it currently maintains separate governing and economic systems from that of mainland China under the principle of "one country, two systems." More importantly, for the proposed or ongoing clinical trials relating to new drug candidates under development, the main regulator of such clinical trials in Hong Kong is the Department of Health (DOH), which is directly led and independently operated by the Hong Kong government and is not a subordinate to, or a department under, the NMPA, the main regulator of similar clinical trials to be conducted in mainland China.</w:t>
      </w:r>
    </w:p>
    <w:p>
      <w:pPr>
        <w:spacing w:after="0" w:line="187" w:lineRule="exact"/>
        <w:rPr>
          <w:sz w:val="20"/>
          <w:szCs w:val="20"/>
          <w:color w:val="auto"/>
        </w:rPr>
      </w:pPr>
    </w:p>
    <w:p>
      <w:pPr>
        <w:jc w:val="both"/>
        <w:ind w:left="660" w:right="80"/>
        <w:spacing w:after="0" w:line="289" w:lineRule="auto"/>
        <w:rPr>
          <w:sz w:val="20"/>
          <w:szCs w:val="20"/>
          <w:color w:val="auto"/>
        </w:rPr>
      </w:pPr>
      <w:r>
        <w:rPr>
          <w:rFonts w:ascii="Times New Roman" w:cs="Times New Roman" w:eastAsia="Times New Roman" w:hAnsi="Times New Roman"/>
          <w:sz w:val="17"/>
          <w:szCs w:val="17"/>
          <w:color w:val="auto"/>
        </w:rPr>
        <w:t>In addition, prior to the commencement of patient enrollment for the Phase 3 clinical trial of LBS-008 in Hong Kong, the Company has obtained all required approvals from relevant regulatory authorities in Hong Kong, which include, among others, (i) the Clinical Trial Certificate by DOH, (ii) the ethics approval from the relevant Ethics Committee and (iii) the administrative agreement from relevant study site/hospital management.</w:t>
      </w:r>
    </w:p>
    <w:p>
      <w:pPr>
        <w:spacing w:after="0" w:line="158"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The Company further advises the Staff that the Hong Kong subsidiary of the Company mainly serves as an investment holding vehicle to hold the equity interest of the Company’s China subsidiary, and the planned clinical trial of LBS-008 in Hong Kong is conducted by an experienced and reputable CRO engaged by the Company. The Hong Kong subsidiary of the Company does not have any substantive operations at present, nor does the Company intend to have any substantive operations in Hong Kong in the near future.</w:t>
      </w:r>
    </w:p>
    <w:p>
      <w:pPr>
        <w:spacing w:after="0" w:line="180" w:lineRule="exact"/>
        <w:rPr>
          <w:sz w:val="20"/>
          <w:szCs w:val="20"/>
          <w:color w:val="auto"/>
        </w:rPr>
      </w:pPr>
    </w:p>
    <w:p>
      <w:pPr>
        <w:ind w:left="660" w:right="680"/>
        <w:spacing w:after="0" w:line="282" w:lineRule="auto"/>
        <w:rPr>
          <w:sz w:val="20"/>
          <w:szCs w:val="20"/>
          <w:color w:val="auto"/>
        </w:rPr>
      </w:pPr>
      <w:r>
        <w:rPr>
          <w:rFonts w:ascii="Times New Roman" w:cs="Times New Roman" w:eastAsia="Times New Roman" w:hAnsi="Times New Roman"/>
          <w:sz w:val="18"/>
          <w:szCs w:val="18"/>
          <w:color w:val="auto"/>
        </w:rPr>
        <w:t>Based on the above, the Company believes there is no material risk relating to the Company’s planned clinical trials in Hong Kong or the operations of its Hong Kong subsidiary.</w:t>
      </w:r>
    </w:p>
    <w:p>
      <w:pPr>
        <w:spacing w:after="0" w:line="162" w:lineRule="exact"/>
        <w:rPr>
          <w:sz w:val="20"/>
          <w:szCs w:val="20"/>
          <w:color w:val="auto"/>
        </w:rPr>
      </w:pPr>
    </w:p>
    <w:p>
      <w:pPr>
        <w:ind w:left="1660"/>
        <w:spacing w:after="0"/>
        <w:tabs>
          <w:tab w:leader="none" w:pos="5420" w:val="left"/>
          <w:tab w:leader="none" w:pos="9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2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946150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586105</wp:posOffset>
            </wp:positionV>
            <wp:extent cx="1131570"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31570" cy="265430"/>
                    </a:xfrm>
                    <a:prstGeom prst="rect">
                      <a:avLst/>
                    </a:prstGeom>
                    <a:noFill/>
                  </pic:spPr>
                </pic:pic>
              </a:graphicData>
            </a:graphic>
          </wp:anchor>
        </w:drawing>
      </w:r>
    </w:p>
    <w:p>
      <w:pPr>
        <w:spacing w:after="0" w:line="284" w:lineRule="auto"/>
        <w:rPr>
          <w:sz w:val="20"/>
          <w:szCs w:val="20"/>
          <w:color w:val="auto"/>
        </w:rPr>
      </w:pPr>
      <w:r>
        <w:rPr>
          <w:rFonts w:ascii="Times New Roman" w:cs="Times New Roman" w:eastAsia="Times New Roman" w:hAnsi="Times New Roman"/>
          <w:sz w:val="18"/>
          <w:szCs w:val="18"/>
          <w:color w:val="auto"/>
        </w:rPr>
        <w:t xml:space="preserve">We appreciate the Staff’s comments and request that the Staff contact the undersigned at (212) 326-2168 or </w:t>
      </w:r>
      <w:r>
        <w:rPr>
          <w:rFonts w:ascii="Times New Roman" w:cs="Times New Roman" w:eastAsia="Times New Roman" w:hAnsi="Times New Roman"/>
          <w:sz w:val="18"/>
          <w:szCs w:val="18"/>
          <w:i w:val="1"/>
          <w:iCs w:val="1"/>
          <w:color w:val="auto"/>
        </w:rPr>
        <w:t>pku@omm.com</w:t>
      </w:r>
      <w:r>
        <w:rPr>
          <w:rFonts w:ascii="Times New Roman" w:cs="Times New Roman" w:eastAsia="Times New Roman" w:hAnsi="Times New Roman"/>
          <w:sz w:val="18"/>
          <w:szCs w:val="18"/>
          <w:color w:val="auto"/>
        </w:rPr>
        <w:t xml:space="preserve"> with any questions or comments regarding this letter and/or the Registration Statement.</w:t>
      </w:r>
    </w:p>
    <w:p>
      <w:pPr>
        <w:spacing w:after="0" w:line="1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Portia Ku</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Portia Ku</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 O’Melveny &amp; Myers LLP</w:t>
      </w:r>
    </w:p>
    <w:p>
      <w:pPr>
        <w:spacing w:after="0" w:line="207" w:lineRule="exact"/>
        <w:rPr>
          <w:sz w:val="20"/>
          <w:szCs w:val="20"/>
          <w:color w:val="auto"/>
        </w:rPr>
      </w:pPr>
    </w:p>
    <w:p>
      <w:pPr>
        <w:ind w:left="340" w:right="5240" w:hanging="332"/>
        <w:spacing w:after="0" w:line="257"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Yu-Hsin Lin, Chief Executive Officer and Chairman, Belite Bio, Inc Hao-Yuan Chuang, Chief Financial Officer, Belite Bio, Inc Vincent Lin, O’Melveny &amp; Myers LLP</w:t>
      </w:r>
    </w:p>
    <w:p>
      <w:pPr>
        <w:spacing w:after="0" w:line="1" w:lineRule="exact"/>
        <w:rPr>
          <w:rFonts w:ascii="Times New Roman" w:cs="Times New Roman" w:eastAsia="Times New Roman" w:hAnsi="Times New Roman"/>
          <w:sz w:val="18"/>
          <w:szCs w:val="18"/>
          <w:color w:val="auto"/>
        </w:rPr>
      </w:pPr>
    </w:p>
    <w:p>
      <w:pPr>
        <w:ind w:left="340" w:right="67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J. Hart, Ellenoff Grossman &amp; Schole LLP Joy Pan, Friedman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480"/>
      </w:cols>
      <w:pgMar w:left="320" w:top="1440"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2022-05-26T23:11:44Z</dcterms:created>
  <dcterms:modified xsi:type="dcterms:W3CDTF">2022-05-26T23:11:44Z</dcterms:modified>
</cp:coreProperties>
</file>