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Chuang Hao-Yuan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BELITE BIO,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BLTE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3"/>
            <w:vMerge w:val="restart"/>
          </w:tcPr>
          <w:p>
            <w:pPr>
              <w:spacing w:after="0"/>
              <w:rPr>
                <w:sz w:val="20"/>
                <w:szCs w:val="20"/>
                <w:color w:val="auto"/>
              </w:rPr>
            </w:pPr>
            <w:r>
              <w:rPr>
                <w:rFonts w:ascii="Arial" w:cs="Arial" w:eastAsia="Arial" w:hAnsi="Arial"/>
                <w:sz w:val="13"/>
                <w:szCs w:val="13"/>
                <w:color w:val="auto"/>
              </w:rPr>
              <w:t>Foreign Trading Symbol</w:t>
            </w: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2C2C2C"/>
            </w:tcBorders>
          </w:tcPr>
          <w:p>
            <w:pPr>
              <w:spacing w:after="0"/>
              <w:rPr>
                <w:sz w:val="11"/>
                <w:szCs w:val="11"/>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11"/>
                <w:szCs w:val="11"/>
                <w:color w:val="auto"/>
              </w:rPr>
            </w:pPr>
          </w:p>
        </w:tc>
        <w:tc>
          <w:tcPr>
            <w:tcW w:w="240" w:type="dxa"/>
            <w:vAlign w:val="bottom"/>
            <w:tcBorders>
              <w:top w:val="single" w:sz="8" w:color="2C2C2C"/>
            </w:tcBorders>
          </w:tcPr>
          <w:p>
            <w:pPr>
              <w:spacing w:after="0"/>
              <w:rPr>
                <w:sz w:val="11"/>
                <w:szCs w:val="11"/>
                <w:color w:val="auto"/>
              </w:rPr>
            </w:pPr>
          </w:p>
        </w:tc>
        <w:tc>
          <w:tcPr>
            <w:tcW w:w="80" w:type="dxa"/>
            <w:vAlign w:val="bottom"/>
            <w:tcBorders>
              <w:top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29"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Chief Financial Officer</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12750 HIGH BLUFF DRIVE, SUITE 475</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10/29/2026</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gridSpan w:val="4"/>
          </w:tcPr>
          <w:p>
            <w:pPr>
              <w:spacing w:after="0"/>
              <w:rPr>
                <w:sz w:val="12"/>
                <w:szCs w:val="12"/>
                <w:color w:val="auto"/>
              </w:rPr>
            </w:pPr>
          </w:p>
        </w:tc>
        <w:tc>
          <w:tcPr>
            <w:tcW w:w="1800" w:type="dxa"/>
            <w:vAlign w:val="bottom"/>
            <w:tcBorders>
              <w:bottom w:val="single" w:sz="8" w:color="2C2C2C"/>
            </w:tcBorders>
            <w:gridSpan w:val="3"/>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7"/>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1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w:t>
            </w:r>
          </w:p>
        </w:tc>
        <w:tc>
          <w:tcPr>
            <w:tcW w:w="3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10/29/2026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jc w:val="center"/>
              <w:ind w:right="197"/>
              <w:spacing w:after="0"/>
              <w:rPr>
                <w:sz w:val="20"/>
                <w:szCs w:val="20"/>
                <w:color w:val="auto"/>
              </w:rPr>
            </w:pPr>
            <w:r>
              <w:rPr>
                <w:rFonts w:ascii="Times New Roman" w:cs="Times New Roman" w:eastAsia="Times New Roman" w:hAnsi="Times New Roman"/>
                <w:sz w:val="17"/>
                <w:szCs w:val="17"/>
                <w:color w:val="0000FF"/>
              </w:rPr>
              <w:t>180,264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30,000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ESHJ</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620" w:type="dxa"/>
            <w:vAlign w:val="bottom"/>
            <w:tcBorders>
              <w:bottom w:val="single" w:sz="8" w:color="2C2C2C"/>
            </w:tcBorders>
            <w:gridSpan w:val="4"/>
          </w:tcPr>
          <w:p>
            <w:pPr>
              <w:spacing w:after="0"/>
              <w:rPr>
                <w:sz w:val="8"/>
                <w:szCs w:val="8"/>
                <w:color w:val="auto"/>
              </w:rPr>
            </w:pPr>
          </w:p>
        </w:tc>
        <w:tc>
          <w:tcPr>
            <w:tcW w:w="232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8. Price of</w:t>
            </w:r>
          </w:p>
        </w:tc>
        <w:tc>
          <w:tcPr>
            <w:tcW w:w="17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15, 2025, the reporting person was granted an award of restricted stock units ("RSUs") which shall vest upon satisfaction of several performance criteria. Certain of these performance criteria were met on 10/29/2026, resulting in vesting of the RSUs as to 5,000 ordinary shares.</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Excludes 30,000 ordinary shares previously reported as directly owned, which the reporting person transferred on June 8, 2026 to ESHJ Ltd, a company wholly beneficially owned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Hao-Yuan Chuang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10/30/2026</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2008" TargetMode="External"/><Relationship Id="rId14" Type="http://schemas.openxmlformats.org/officeDocument/2006/relationships/hyperlink" Target="http://www.sec.gov/cgi-bin/browse-edgar?action=getcompany&amp;CIK=00018891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2026-10-30T20:01:04Z</dcterms:created>
  <dcterms:modified xsi:type="dcterms:W3CDTF">2026-10-30T20:01:04Z</dcterms:modified>
</cp:coreProperties>
</file>