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MATA NATHAN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7708 MARKER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BELITE BIO,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BLTE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4"/>
        <w:gridCol w:w="931"/>
        <w:gridCol w:w="799"/>
        <w:gridCol w:w="618"/>
        <w:gridCol w:w="346"/>
        <w:gridCol w:w="778"/>
        <w:gridCol w:w="431"/>
        <w:gridCol w:w="1102"/>
        <w:gridCol w:w="1137"/>
        <w:gridCol w:w="984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153.495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3,634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154.2375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155.206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3,073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156.5677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157.4904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ordinary share, par value US$0.0001 per share,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in this Form 4 were effected pursuant to a Rule 10b5-1 trading plan adopted by the reporting person on 12/10/2025.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weighted average price of shares sold at prices that ranged from $153.05 to $153.855.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weighted average price of shares sold at prices that ranged from $154.06 to $154.925.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the weighted average price of shares sold at prices that ranged from $155.02 to $155.96.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the weighted average price of shares sold at prices that ranged from $156 to $156.99.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the weighted average price of shares sold at prices that ranged from $157.05 to $157.98.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L. Mata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3987" TargetMode="External"/><Relationship Id="rId5" Type="http://schemas.openxmlformats.org/officeDocument/2006/relationships/hyperlink" Target="http://www.sec.gov/cgi-bin/browse-edgar?action=getcompany&amp;CIK=00018891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897</Words>
  <Characters>4775</Characters>
  <CharactersWithSpaces>5588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